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56" w:rsidRPr="00514B3E" w:rsidRDefault="00182556" w:rsidP="00182556">
      <w:pPr>
        <w:jc w:val="right"/>
        <w:rPr>
          <w:color w:val="000000"/>
        </w:rPr>
      </w:pPr>
      <w:proofErr w:type="spellStart"/>
      <w:r>
        <w:rPr>
          <w:b/>
          <w:bCs/>
          <w:color w:val="000000"/>
          <w:sz w:val="28"/>
          <w:szCs w:val="28"/>
        </w:rPr>
        <w:t>Anexa</w:t>
      </w:r>
      <w:proofErr w:type="spellEnd"/>
      <w:r w:rsidRPr="00514B3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</w:t>
      </w:r>
      <w:r w:rsidRPr="00514B3E">
        <w:rPr>
          <w:b/>
          <w:bCs/>
          <w:color w:val="000000"/>
          <w:sz w:val="28"/>
          <w:szCs w:val="28"/>
        </w:rPr>
        <w:t xml:space="preserve"> la H.C.L. </w:t>
      </w:r>
      <w:proofErr w:type="spellStart"/>
      <w:r w:rsidRPr="00514B3E">
        <w:rPr>
          <w:b/>
          <w:bCs/>
          <w:color w:val="000000"/>
          <w:sz w:val="28"/>
          <w:szCs w:val="28"/>
        </w:rPr>
        <w:t>nr</w:t>
      </w:r>
      <w:proofErr w:type="spellEnd"/>
      <w:r w:rsidRPr="00514B3E">
        <w:rPr>
          <w:b/>
          <w:bCs/>
          <w:color w:val="000000"/>
          <w:sz w:val="28"/>
          <w:szCs w:val="28"/>
        </w:rPr>
        <w:t>._____/__________</w:t>
      </w:r>
    </w:p>
    <w:p w:rsidR="00182556" w:rsidRDefault="00182556" w:rsidP="00182556">
      <w:pPr>
        <w:jc w:val="both"/>
        <w:rPr>
          <w:b/>
          <w:bCs/>
          <w:color w:val="FF0000"/>
          <w:sz w:val="28"/>
          <w:szCs w:val="28"/>
        </w:rPr>
      </w:pPr>
      <w:r w:rsidRPr="00514B3E">
        <w:rPr>
          <w:b/>
          <w:bCs/>
          <w:color w:val="FF0000"/>
          <w:sz w:val="28"/>
          <w:szCs w:val="28"/>
        </w:rPr>
        <w:t> </w:t>
      </w:r>
    </w:p>
    <w:p w:rsidR="00182556" w:rsidRPr="00514B3E" w:rsidRDefault="00182556" w:rsidP="00182556">
      <w:pPr>
        <w:jc w:val="both"/>
        <w:rPr>
          <w:color w:val="000000"/>
        </w:rPr>
      </w:pPr>
    </w:p>
    <w:p w:rsidR="007C620E" w:rsidRPr="003B05BC" w:rsidRDefault="00182556" w:rsidP="00182556">
      <w:pPr>
        <w:pStyle w:val="Default"/>
        <w:ind w:left="708"/>
        <w:jc w:val="center"/>
        <w:rPr>
          <w:b/>
          <w:bCs/>
          <w:sz w:val="28"/>
          <w:szCs w:val="28"/>
        </w:rPr>
      </w:pPr>
      <w:r w:rsidRPr="003B05BC">
        <w:rPr>
          <w:b/>
          <w:bCs/>
          <w:sz w:val="28"/>
          <w:szCs w:val="28"/>
        </w:rPr>
        <w:t xml:space="preserve">Programul anual de finanțări nerambursabile din fondurile publice ale Municipiului Ploieşti pentru activităţi nonprofit de interes local </w:t>
      </w:r>
    </w:p>
    <w:p w:rsidR="00182556" w:rsidRPr="003B05BC" w:rsidRDefault="00182556" w:rsidP="00C649C7">
      <w:pPr>
        <w:pStyle w:val="Default"/>
        <w:ind w:left="708"/>
        <w:jc w:val="center"/>
        <w:rPr>
          <w:b/>
          <w:bCs/>
          <w:sz w:val="28"/>
          <w:szCs w:val="28"/>
        </w:rPr>
      </w:pPr>
      <w:r w:rsidRPr="003B05BC">
        <w:rPr>
          <w:b/>
          <w:bCs/>
          <w:sz w:val="28"/>
          <w:szCs w:val="28"/>
        </w:rPr>
        <w:t>pe anul 202</w:t>
      </w:r>
      <w:r w:rsidR="009F3500" w:rsidRPr="003B05BC">
        <w:rPr>
          <w:b/>
          <w:bCs/>
          <w:sz w:val="28"/>
          <w:szCs w:val="28"/>
        </w:rPr>
        <w:t>5</w:t>
      </w:r>
    </w:p>
    <w:p w:rsidR="00182556" w:rsidRDefault="00182556" w:rsidP="00182556">
      <w:pPr>
        <w:pStyle w:val="Default"/>
        <w:ind w:left="708"/>
        <w:rPr>
          <w:sz w:val="26"/>
          <w:szCs w:val="26"/>
        </w:rPr>
      </w:pPr>
    </w:p>
    <w:p w:rsidR="00182556" w:rsidRDefault="00182556" w:rsidP="003B05BC">
      <w:pPr>
        <w:pStyle w:val="Default"/>
        <w:ind w:firstLine="708"/>
        <w:jc w:val="both"/>
        <w:rPr>
          <w:sz w:val="28"/>
          <w:szCs w:val="28"/>
        </w:rPr>
      </w:pPr>
      <w:r w:rsidRPr="00182556">
        <w:rPr>
          <w:sz w:val="28"/>
          <w:szCs w:val="28"/>
        </w:rPr>
        <w:t xml:space="preserve">Municipiul Ploieşti îşi propune să susțină, cu finanțare nerambursabilă din fonduri publice, proiectele pentru activităţi nonprofit de interes </w:t>
      </w:r>
      <w:r w:rsidR="003B05BC">
        <w:rPr>
          <w:sz w:val="28"/>
          <w:szCs w:val="28"/>
        </w:rPr>
        <w:t>local</w:t>
      </w:r>
      <w:r w:rsidRPr="00182556">
        <w:rPr>
          <w:sz w:val="28"/>
          <w:szCs w:val="28"/>
        </w:rPr>
        <w:t xml:space="preserve"> pe anul 202</w:t>
      </w:r>
      <w:r w:rsidR="003B05BC">
        <w:rPr>
          <w:sz w:val="28"/>
          <w:szCs w:val="28"/>
        </w:rPr>
        <w:t>5</w:t>
      </w:r>
      <w:r w:rsidRPr="00182556">
        <w:rPr>
          <w:sz w:val="28"/>
          <w:szCs w:val="28"/>
        </w:rPr>
        <w:t>, în conformitate cu prevederile bugetare pentru anul 202</w:t>
      </w:r>
      <w:r w:rsidR="009F3500">
        <w:rPr>
          <w:sz w:val="28"/>
          <w:szCs w:val="28"/>
        </w:rPr>
        <w:t>5</w:t>
      </w:r>
      <w:r w:rsidRPr="00182556">
        <w:rPr>
          <w:sz w:val="28"/>
          <w:szCs w:val="28"/>
        </w:rPr>
        <w:t xml:space="preserve">, în cuantum total de </w:t>
      </w:r>
      <w:r w:rsidR="003B05BC" w:rsidRPr="00F602D8">
        <w:rPr>
          <w:b/>
          <w:sz w:val="28"/>
          <w:szCs w:val="28"/>
        </w:rPr>
        <w:t xml:space="preserve">2.847.221,80 </w:t>
      </w:r>
      <w:r w:rsidR="003B05BC" w:rsidRPr="00F602D8">
        <w:rPr>
          <w:b/>
          <w:bCs/>
          <w:sz w:val="28"/>
          <w:szCs w:val="28"/>
        </w:rPr>
        <w:t>lei</w:t>
      </w:r>
      <w:r w:rsidRPr="00182556">
        <w:rPr>
          <w:sz w:val="28"/>
          <w:szCs w:val="28"/>
        </w:rPr>
        <w:t xml:space="preserve">. </w:t>
      </w:r>
    </w:p>
    <w:p w:rsidR="00182556" w:rsidRDefault="00D229D6" w:rsidP="003B05BC">
      <w:pPr>
        <w:pStyle w:val="Default"/>
        <w:ind w:firstLine="708"/>
        <w:jc w:val="both"/>
        <w:rPr>
          <w:sz w:val="28"/>
          <w:szCs w:val="28"/>
        </w:rPr>
      </w:pPr>
      <w:r w:rsidRPr="00182556">
        <w:rPr>
          <w:sz w:val="28"/>
          <w:szCs w:val="28"/>
        </w:rPr>
        <w:t>Finanțarea</w:t>
      </w:r>
      <w:r w:rsidR="00182556" w:rsidRPr="00182556">
        <w:rPr>
          <w:sz w:val="28"/>
          <w:szCs w:val="28"/>
        </w:rPr>
        <w:t xml:space="preserve"> proiectelor se va face în baza Legii nr.350/2005 </w:t>
      </w:r>
      <w:r w:rsidR="00182556" w:rsidRPr="00182556">
        <w:rPr>
          <w:i/>
          <w:iCs/>
          <w:sz w:val="28"/>
          <w:szCs w:val="28"/>
        </w:rPr>
        <w:t>privind regimul finanţărilor nerambursabile din fonduri publice alocate pentru activităţi nonprofit de interes general</w:t>
      </w:r>
      <w:r w:rsidR="00182556" w:rsidRPr="00182556">
        <w:rPr>
          <w:sz w:val="28"/>
          <w:szCs w:val="28"/>
        </w:rPr>
        <w:t xml:space="preserve">, cu modificările şi completările ulterioare. </w:t>
      </w:r>
    </w:p>
    <w:p w:rsidR="00BB1A24" w:rsidRDefault="00BB1A24" w:rsidP="003B05BC">
      <w:pPr>
        <w:pStyle w:val="Default"/>
        <w:ind w:firstLine="708"/>
        <w:jc w:val="both"/>
        <w:rPr>
          <w:sz w:val="28"/>
          <w:szCs w:val="28"/>
        </w:rPr>
      </w:pPr>
      <w:r w:rsidRPr="00182556">
        <w:rPr>
          <w:b/>
          <w:bCs/>
          <w:sz w:val="28"/>
          <w:szCs w:val="28"/>
        </w:rPr>
        <w:t xml:space="preserve">Mărimea finanțărilor </w:t>
      </w:r>
      <w:r>
        <w:rPr>
          <w:b/>
          <w:bCs/>
          <w:sz w:val="28"/>
          <w:szCs w:val="28"/>
        </w:rPr>
        <w:t>n</w:t>
      </w:r>
      <w:r w:rsidRPr="00182556">
        <w:rPr>
          <w:b/>
          <w:bCs/>
          <w:sz w:val="28"/>
          <w:szCs w:val="28"/>
        </w:rPr>
        <w:t>erambursabile</w:t>
      </w:r>
      <w:r w:rsidRPr="00182556">
        <w:rPr>
          <w:sz w:val="28"/>
          <w:szCs w:val="28"/>
        </w:rPr>
        <w:t>:</w:t>
      </w:r>
      <w:r w:rsidRPr="00BB1A24">
        <w:rPr>
          <w:sz w:val="28"/>
          <w:szCs w:val="28"/>
        </w:rPr>
        <w:t xml:space="preserve"> </w:t>
      </w:r>
      <w:r w:rsidRPr="00182556">
        <w:rPr>
          <w:sz w:val="28"/>
          <w:szCs w:val="28"/>
        </w:rPr>
        <w:t>Valorile următoare, minimă și maximă, se aplică finanțărilor nerambursabile pentru proiecte individuale care pot fi finanțate în cadrul programului:</w:t>
      </w:r>
    </w:p>
    <w:p w:rsidR="00BB1A24" w:rsidRDefault="00BB1A24" w:rsidP="00BB1A24">
      <w:pPr>
        <w:pStyle w:val="Default"/>
        <w:jc w:val="both"/>
        <w:rPr>
          <w:sz w:val="28"/>
          <w:szCs w:val="28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83"/>
        <w:gridCol w:w="2784"/>
        <w:gridCol w:w="1227"/>
        <w:gridCol w:w="1255"/>
        <w:gridCol w:w="1255"/>
        <w:gridCol w:w="1255"/>
      </w:tblGrid>
      <w:tr w:rsidR="009F3500" w:rsidTr="003B05BC">
        <w:trPr>
          <w:trHeight w:val="323"/>
        </w:trPr>
        <w:tc>
          <w:tcPr>
            <w:tcW w:w="583" w:type="dxa"/>
            <w:vMerge w:val="restart"/>
          </w:tcPr>
          <w:p w:rsidR="003B05BC" w:rsidRDefault="003B05BC" w:rsidP="009F350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B05BC" w:rsidRDefault="003B05BC" w:rsidP="009F350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F3500" w:rsidRDefault="009F3500" w:rsidP="009F35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ctr.</w:t>
            </w:r>
          </w:p>
        </w:tc>
        <w:tc>
          <w:tcPr>
            <w:tcW w:w="2784" w:type="dxa"/>
            <w:vMerge w:val="restart"/>
          </w:tcPr>
          <w:p w:rsidR="003B05BC" w:rsidRDefault="003B05BC" w:rsidP="003B05B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05BC" w:rsidRDefault="003B05BC" w:rsidP="003B05B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F3500" w:rsidRPr="00182556" w:rsidRDefault="009F3500" w:rsidP="003B05BC">
            <w:pPr>
              <w:pStyle w:val="Default"/>
              <w:jc w:val="center"/>
              <w:rPr>
                <w:sz w:val="28"/>
                <w:szCs w:val="28"/>
              </w:rPr>
            </w:pPr>
            <w:r w:rsidRPr="00182556">
              <w:rPr>
                <w:sz w:val="28"/>
                <w:szCs w:val="28"/>
              </w:rPr>
              <w:t>Domeniu de activitate</w:t>
            </w:r>
          </w:p>
          <w:p w:rsidR="009F3500" w:rsidRDefault="009F3500" w:rsidP="003B05BC">
            <w:pPr>
              <w:pStyle w:val="Default"/>
              <w:jc w:val="center"/>
              <w:rPr>
                <w:sz w:val="28"/>
                <w:szCs w:val="28"/>
              </w:rPr>
            </w:pPr>
            <w:r w:rsidRPr="00182556">
              <w:rPr>
                <w:sz w:val="28"/>
                <w:szCs w:val="28"/>
              </w:rPr>
              <w:t>finanțat</w:t>
            </w:r>
          </w:p>
        </w:tc>
        <w:tc>
          <w:tcPr>
            <w:tcW w:w="2482" w:type="dxa"/>
            <w:gridSpan w:val="2"/>
          </w:tcPr>
          <w:p w:rsidR="009F3500" w:rsidRDefault="009F3500" w:rsidP="009F35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182556">
              <w:rPr>
                <w:sz w:val="28"/>
                <w:szCs w:val="28"/>
              </w:rPr>
              <w:t>aloarea finanțării solicitate/proiect</w:t>
            </w:r>
            <w:r>
              <w:rPr>
                <w:sz w:val="28"/>
                <w:szCs w:val="28"/>
              </w:rPr>
              <w:t xml:space="preserve"> (persoane juridice)</w:t>
            </w:r>
            <w:r w:rsidRPr="00182556">
              <w:rPr>
                <w:sz w:val="28"/>
                <w:szCs w:val="28"/>
              </w:rPr>
              <w:t xml:space="preserve"> (lei)</w:t>
            </w:r>
          </w:p>
        </w:tc>
        <w:tc>
          <w:tcPr>
            <w:tcW w:w="2510" w:type="dxa"/>
            <w:gridSpan w:val="2"/>
          </w:tcPr>
          <w:p w:rsidR="009F3500" w:rsidRDefault="009F3500" w:rsidP="009F35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182556">
              <w:rPr>
                <w:sz w:val="28"/>
                <w:szCs w:val="28"/>
              </w:rPr>
              <w:t>aloare</w:t>
            </w:r>
            <w:r>
              <w:rPr>
                <w:sz w:val="28"/>
                <w:szCs w:val="28"/>
              </w:rPr>
              <w:t xml:space="preserve">a finanțării solicitate/proiect (persoane fizice) </w:t>
            </w:r>
            <w:r w:rsidRPr="00182556">
              <w:rPr>
                <w:sz w:val="28"/>
                <w:szCs w:val="28"/>
              </w:rPr>
              <w:t>(lei)</w:t>
            </w:r>
          </w:p>
        </w:tc>
      </w:tr>
      <w:tr w:rsidR="003B05BC" w:rsidTr="003B05BC">
        <w:trPr>
          <w:trHeight w:val="322"/>
        </w:trPr>
        <w:tc>
          <w:tcPr>
            <w:tcW w:w="583" w:type="dxa"/>
            <w:vMerge/>
          </w:tcPr>
          <w:p w:rsidR="009F3500" w:rsidRDefault="009F3500" w:rsidP="009F350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dxa"/>
            <w:vMerge/>
          </w:tcPr>
          <w:p w:rsidR="009F3500" w:rsidRPr="00182556" w:rsidRDefault="009F3500" w:rsidP="009F350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9F3500" w:rsidRPr="00182556" w:rsidRDefault="009F3500" w:rsidP="009F3500">
            <w:pPr>
              <w:pStyle w:val="Default"/>
              <w:jc w:val="center"/>
              <w:rPr>
                <w:sz w:val="28"/>
                <w:szCs w:val="28"/>
              </w:rPr>
            </w:pPr>
            <w:r w:rsidRPr="00182556">
              <w:rPr>
                <w:sz w:val="28"/>
                <w:szCs w:val="28"/>
              </w:rPr>
              <w:t>Valoarea minima</w:t>
            </w:r>
          </w:p>
          <w:p w:rsidR="009F3500" w:rsidRDefault="009F3500" w:rsidP="009F3500">
            <w:pPr>
              <w:pStyle w:val="Default"/>
              <w:jc w:val="center"/>
              <w:rPr>
                <w:sz w:val="28"/>
                <w:szCs w:val="28"/>
              </w:rPr>
            </w:pPr>
            <w:r w:rsidRPr="00182556">
              <w:rPr>
                <w:sz w:val="28"/>
                <w:szCs w:val="28"/>
              </w:rPr>
              <w:t>(lei)</w:t>
            </w:r>
          </w:p>
        </w:tc>
        <w:tc>
          <w:tcPr>
            <w:tcW w:w="1255" w:type="dxa"/>
          </w:tcPr>
          <w:p w:rsidR="009F3500" w:rsidRPr="00182556" w:rsidRDefault="009F3500" w:rsidP="009F3500">
            <w:pPr>
              <w:pStyle w:val="Default"/>
              <w:jc w:val="center"/>
              <w:rPr>
                <w:sz w:val="28"/>
                <w:szCs w:val="28"/>
              </w:rPr>
            </w:pPr>
            <w:r w:rsidRPr="00182556">
              <w:rPr>
                <w:sz w:val="28"/>
                <w:szCs w:val="28"/>
              </w:rPr>
              <w:t>Valoarea maximă</w:t>
            </w:r>
          </w:p>
          <w:p w:rsidR="009F3500" w:rsidRDefault="009F3500" w:rsidP="009F3500">
            <w:pPr>
              <w:pStyle w:val="Default"/>
              <w:jc w:val="center"/>
              <w:rPr>
                <w:sz w:val="28"/>
                <w:szCs w:val="28"/>
              </w:rPr>
            </w:pPr>
            <w:r w:rsidRPr="00182556">
              <w:rPr>
                <w:sz w:val="28"/>
                <w:szCs w:val="28"/>
              </w:rPr>
              <w:t>(lei)</w:t>
            </w:r>
          </w:p>
        </w:tc>
        <w:tc>
          <w:tcPr>
            <w:tcW w:w="1255" w:type="dxa"/>
          </w:tcPr>
          <w:p w:rsidR="009F3500" w:rsidRPr="00182556" w:rsidRDefault="009F3500" w:rsidP="009F3500">
            <w:pPr>
              <w:pStyle w:val="Default"/>
              <w:jc w:val="center"/>
              <w:rPr>
                <w:sz w:val="28"/>
                <w:szCs w:val="28"/>
              </w:rPr>
            </w:pPr>
            <w:r w:rsidRPr="00182556">
              <w:rPr>
                <w:sz w:val="28"/>
                <w:szCs w:val="28"/>
              </w:rPr>
              <w:t>Valoarea minima</w:t>
            </w:r>
          </w:p>
          <w:p w:rsidR="009F3500" w:rsidRDefault="009F3500" w:rsidP="009F3500">
            <w:pPr>
              <w:pStyle w:val="Default"/>
              <w:jc w:val="center"/>
              <w:rPr>
                <w:sz w:val="28"/>
                <w:szCs w:val="28"/>
              </w:rPr>
            </w:pPr>
            <w:r w:rsidRPr="00182556">
              <w:rPr>
                <w:sz w:val="28"/>
                <w:szCs w:val="28"/>
              </w:rPr>
              <w:t>(lei)</w:t>
            </w:r>
          </w:p>
        </w:tc>
        <w:tc>
          <w:tcPr>
            <w:tcW w:w="1255" w:type="dxa"/>
          </w:tcPr>
          <w:p w:rsidR="009F3500" w:rsidRPr="00182556" w:rsidRDefault="009F3500" w:rsidP="009F3500">
            <w:pPr>
              <w:pStyle w:val="Default"/>
              <w:jc w:val="center"/>
              <w:rPr>
                <w:sz w:val="28"/>
                <w:szCs w:val="28"/>
              </w:rPr>
            </w:pPr>
            <w:r w:rsidRPr="00182556">
              <w:rPr>
                <w:sz w:val="28"/>
                <w:szCs w:val="28"/>
              </w:rPr>
              <w:t>Valoarea maximă</w:t>
            </w:r>
          </w:p>
          <w:p w:rsidR="009F3500" w:rsidRDefault="009F3500" w:rsidP="009F3500">
            <w:pPr>
              <w:pStyle w:val="Default"/>
              <w:jc w:val="center"/>
              <w:rPr>
                <w:sz w:val="28"/>
                <w:szCs w:val="28"/>
              </w:rPr>
            </w:pPr>
            <w:r w:rsidRPr="00182556">
              <w:rPr>
                <w:sz w:val="28"/>
                <w:szCs w:val="28"/>
              </w:rPr>
              <w:t>(lei)</w:t>
            </w:r>
          </w:p>
        </w:tc>
      </w:tr>
      <w:tr w:rsidR="003B05BC" w:rsidTr="003B05BC">
        <w:tc>
          <w:tcPr>
            <w:tcW w:w="583" w:type="dxa"/>
          </w:tcPr>
          <w:p w:rsidR="009F3500" w:rsidRDefault="009F3500" w:rsidP="009F35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F3500" w:rsidRDefault="009F3500" w:rsidP="009F3500">
            <w:pPr>
              <w:jc w:val="both"/>
              <w:rPr>
                <w:sz w:val="28"/>
                <w:szCs w:val="28"/>
              </w:rPr>
            </w:pPr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 xml:space="preserve">Social </w:t>
            </w:r>
            <w:proofErr w:type="spellStart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>și</w:t>
            </w:r>
            <w:proofErr w:type="spellEnd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>incluziune</w:t>
            </w:r>
            <w:proofErr w:type="spellEnd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>socială</w:t>
            </w:r>
            <w:proofErr w:type="spellEnd"/>
          </w:p>
        </w:tc>
        <w:tc>
          <w:tcPr>
            <w:tcW w:w="1227" w:type="dxa"/>
          </w:tcPr>
          <w:p w:rsidR="009F3500" w:rsidRPr="00157C5C" w:rsidRDefault="009F3500" w:rsidP="009F3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57C5C">
              <w:rPr>
                <w:color w:val="auto"/>
                <w:sz w:val="28"/>
                <w:szCs w:val="28"/>
              </w:rPr>
              <w:t>10.000</w:t>
            </w:r>
          </w:p>
        </w:tc>
        <w:tc>
          <w:tcPr>
            <w:tcW w:w="1255" w:type="dxa"/>
          </w:tcPr>
          <w:p w:rsidR="009F3500" w:rsidRPr="00157C5C" w:rsidRDefault="009F3500" w:rsidP="009F3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57C5C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5</w:t>
            </w:r>
            <w:r w:rsidRPr="00157C5C">
              <w:rPr>
                <w:color w:val="auto"/>
                <w:sz w:val="28"/>
                <w:szCs w:val="28"/>
              </w:rPr>
              <w:t>0.000</w:t>
            </w:r>
          </w:p>
        </w:tc>
        <w:tc>
          <w:tcPr>
            <w:tcW w:w="1255" w:type="dxa"/>
          </w:tcPr>
          <w:p w:rsidR="009F3500" w:rsidRPr="00157C5C" w:rsidRDefault="009F3500" w:rsidP="009F3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157C5C">
              <w:rPr>
                <w:color w:val="auto"/>
                <w:sz w:val="28"/>
                <w:szCs w:val="28"/>
              </w:rPr>
              <w:t>.000</w:t>
            </w:r>
          </w:p>
        </w:tc>
        <w:tc>
          <w:tcPr>
            <w:tcW w:w="1255" w:type="dxa"/>
          </w:tcPr>
          <w:p w:rsidR="009F3500" w:rsidRPr="00157C5C" w:rsidRDefault="009F3500" w:rsidP="009F3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157C5C">
              <w:rPr>
                <w:color w:val="auto"/>
                <w:sz w:val="28"/>
                <w:szCs w:val="28"/>
              </w:rPr>
              <w:t>0.000</w:t>
            </w:r>
          </w:p>
        </w:tc>
      </w:tr>
      <w:tr w:rsidR="003B05BC" w:rsidTr="003B05BC">
        <w:tc>
          <w:tcPr>
            <w:tcW w:w="583" w:type="dxa"/>
          </w:tcPr>
          <w:p w:rsidR="003B05BC" w:rsidRDefault="003B05BC" w:rsidP="003B05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3B05BC" w:rsidRDefault="003B05BC" w:rsidP="003B05BC">
            <w:pPr>
              <w:pStyle w:val="Default"/>
              <w:jc w:val="both"/>
              <w:rPr>
                <w:sz w:val="28"/>
                <w:szCs w:val="28"/>
              </w:rPr>
            </w:pPr>
            <w:r w:rsidRPr="00D01617">
              <w:rPr>
                <w:rFonts w:eastAsia="Tahoma"/>
                <w:b/>
                <w:sz w:val="28"/>
                <w:szCs w:val="28"/>
              </w:rPr>
              <w:t>Educațional și cultural</w:t>
            </w:r>
          </w:p>
        </w:tc>
        <w:tc>
          <w:tcPr>
            <w:tcW w:w="1227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57C5C">
              <w:rPr>
                <w:color w:val="auto"/>
                <w:sz w:val="28"/>
                <w:szCs w:val="28"/>
              </w:rPr>
              <w:t>10.000</w:t>
            </w:r>
          </w:p>
        </w:tc>
        <w:tc>
          <w:tcPr>
            <w:tcW w:w="1255" w:type="dxa"/>
          </w:tcPr>
          <w:p w:rsidR="003B05BC" w:rsidRDefault="003B05BC" w:rsidP="003B05BC">
            <w:r w:rsidRPr="00D96694">
              <w:rPr>
                <w:sz w:val="28"/>
                <w:szCs w:val="28"/>
              </w:rPr>
              <w:t>150.000</w:t>
            </w:r>
          </w:p>
        </w:tc>
        <w:tc>
          <w:tcPr>
            <w:tcW w:w="1255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157C5C">
              <w:rPr>
                <w:color w:val="auto"/>
                <w:sz w:val="28"/>
                <w:szCs w:val="28"/>
              </w:rPr>
              <w:t>.000</w:t>
            </w:r>
          </w:p>
        </w:tc>
        <w:tc>
          <w:tcPr>
            <w:tcW w:w="1255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157C5C">
              <w:rPr>
                <w:color w:val="auto"/>
                <w:sz w:val="28"/>
                <w:szCs w:val="28"/>
              </w:rPr>
              <w:t>0.000</w:t>
            </w:r>
          </w:p>
        </w:tc>
      </w:tr>
      <w:tr w:rsidR="003B05BC" w:rsidTr="003B05BC">
        <w:tc>
          <w:tcPr>
            <w:tcW w:w="583" w:type="dxa"/>
          </w:tcPr>
          <w:p w:rsidR="003B05BC" w:rsidRDefault="003B05BC" w:rsidP="003B05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3B05BC" w:rsidRDefault="003B05BC" w:rsidP="003B05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ahoma"/>
                <w:b/>
                <w:sz w:val="28"/>
                <w:szCs w:val="28"/>
              </w:rPr>
              <w:t>Sport: sport de masă</w:t>
            </w:r>
            <w:r w:rsidRPr="00D01617">
              <w:rPr>
                <w:rFonts w:eastAsia="Tahoma"/>
                <w:b/>
                <w:sz w:val="28"/>
                <w:szCs w:val="28"/>
              </w:rPr>
              <w:t xml:space="preserve"> și sport de performanță</w:t>
            </w:r>
          </w:p>
        </w:tc>
        <w:tc>
          <w:tcPr>
            <w:tcW w:w="1227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57C5C">
              <w:rPr>
                <w:color w:val="auto"/>
                <w:sz w:val="28"/>
                <w:szCs w:val="28"/>
              </w:rPr>
              <w:t>10.000</w:t>
            </w:r>
          </w:p>
        </w:tc>
        <w:tc>
          <w:tcPr>
            <w:tcW w:w="1255" w:type="dxa"/>
          </w:tcPr>
          <w:p w:rsidR="003B05BC" w:rsidRDefault="003B05BC" w:rsidP="003B05BC">
            <w:r w:rsidRPr="00D96694">
              <w:rPr>
                <w:sz w:val="28"/>
                <w:szCs w:val="28"/>
              </w:rPr>
              <w:t>150.000</w:t>
            </w:r>
          </w:p>
        </w:tc>
        <w:tc>
          <w:tcPr>
            <w:tcW w:w="1255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157C5C">
              <w:rPr>
                <w:color w:val="auto"/>
                <w:sz w:val="28"/>
                <w:szCs w:val="28"/>
              </w:rPr>
              <w:t>.000</w:t>
            </w:r>
          </w:p>
        </w:tc>
        <w:tc>
          <w:tcPr>
            <w:tcW w:w="1255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157C5C">
              <w:rPr>
                <w:color w:val="auto"/>
                <w:sz w:val="28"/>
                <w:szCs w:val="28"/>
              </w:rPr>
              <w:t>0.000</w:t>
            </w:r>
          </w:p>
        </w:tc>
      </w:tr>
      <w:tr w:rsidR="003B05BC" w:rsidTr="003B05BC">
        <w:tc>
          <w:tcPr>
            <w:tcW w:w="583" w:type="dxa"/>
          </w:tcPr>
          <w:p w:rsidR="003B05BC" w:rsidRDefault="003B05BC" w:rsidP="003B05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4" w:type="dxa"/>
          </w:tcPr>
          <w:p w:rsidR="003B05BC" w:rsidRDefault="003B05BC" w:rsidP="003B05BC">
            <w:pPr>
              <w:jc w:val="both"/>
              <w:rPr>
                <w:sz w:val="28"/>
                <w:szCs w:val="28"/>
              </w:rPr>
            </w:pPr>
            <w:proofErr w:type="spellStart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>Sănătate</w:t>
            </w:r>
            <w:proofErr w:type="spellEnd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>și</w:t>
            </w:r>
            <w:proofErr w:type="spellEnd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>protecția</w:t>
            </w:r>
            <w:proofErr w:type="spellEnd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>mediului</w:t>
            </w:r>
            <w:proofErr w:type="spellEnd"/>
          </w:p>
        </w:tc>
        <w:tc>
          <w:tcPr>
            <w:tcW w:w="1227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57C5C">
              <w:rPr>
                <w:color w:val="auto"/>
                <w:sz w:val="28"/>
                <w:szCs w:val="28"/>
              </w:rPr>
              <w:t>10.000</w:t>
            </w:r>
          </w:p>
        </w:tc>
        <w:tc>
          <w:tcPr>
            <w:tcW w:w="1255" w:type="dxa"/>
          </w:tcPr>
          <w:p w:rsidR="003B05BC" w:rsidRDefault="003B05BC" w:rsidP="003B05BC">
            <w:r w:rsidRPr="00D96694">
              <w:rPr>
                <w:sz w:val="28"/>
                <w:szCs w:val="28"/>
              </w:rPr>
              <w:t>150.000</w:t>
            </w:r>
          </w:p>
        </w:tc>
        <w:tc>
          <w:tcPr>
            <w:tcW w:w="1255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157C5C">
              <w:rPr>
                <w:color w:val="auto"/>
                <w:sz w:val="28"/>
                <w:szCs w:val="28"/>
              </w:rPr>
              <w:t>.000</w:t>
            </w:r>
          </w:p>
        </w:tc>
        <w:tc>
          <w:tcPr>
            <w:tcW w:w="1255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157C5C">
              <w:rPr>
                <w:color w:val="auto"/>
                <w:sz w:val="28"/>
                <w:szCs w:val="28"/>
              </w:rPr>
              <w:t>0.000</w:t>
            </w:r>
          </w:p>
        </w:tc>
      </w:tr>
      <w:tr w:rsidR="003B05BC" w:rsidTr="003B05BC">
        <w:tc>
          <w:tcPr>
            <w:tcW w:w="583" w:type="dxa"/>
          </w:tcPr>
          <w:p w:rsidR="003B05BC" w:rsidRDefault="003B05BC" w:rsidP="003B05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4" w:type="dxa"/>
          </w:tcPr>
          <w:p w:rsidR="003B05BC" w:rsidRPr="003B05BC" w:rsidRDefault="003B05BC" w:rsidP="003B05BC">
            <w:pPr>
              <w:suppressAutoHyphens/>
              <w:spacing w:line="360" w:lineRule="auto"/>
              <w:ind w:left="1" w:right="-93"/>
              <w:jc w:val="both"/>
              <w:textDirection w:val="btLr"/>
              <w:textAlignment w:val="top"/>
              <w:outlineLvl w:val="0"/>
              <w:rPr>
                <w:rFonts w:eastAsia="Tahoma"/>
                <w:b/>
                <w:color w:val="000000"/>
                <w:sz w:val="28"/>
                <w:szCs w:val="28"/>
              </w:rPr>
            </w:pPr>
            <w:r w:rsidRPr="00D01617">
              <w:rPr>
                <w:rFonts w:eastAsia="Tahoma"/>
                <w:b/>
                <w:color w:val="000000"/>
                <w:sz w:val="28"/>
                <w:szCs w:val="28"/>
              </w:rPr>
              <w:t xml:space="preserve">Tineret </w:t>
            </w:r>
          </w:p>
        </w:tc>
        <w:tc>
          <w:tcPr>
            <w:tcW w:w="1227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57C5C">
              <w:rPr>
                <w:color w:val="auto"/>
                <w:sz w:val="28"/>
                <w:szCs w:val="28"/>
              </w:rPr>
              <w:t>10.000</w:t>
            </w:r>
          </w:p>
        </w:tc>
        <w:tc>
          <w:tcPr>
            <w:tcW w:w="1255" w:type="dxa"/>
          </w:tcPr>
          <w:p w:rsidR="003B05BC" w:rsidRDefault="003B05BC" w:rsidP="003B05BC">
            <w:r w:rsidRPr="00D96694">
              <w:rPr>
                <w:sz w:val="28"/>
                <w:szCs w:val="28"/>
              </w:rPr>
              <w:t>150.000</w:t>
            </w:r>
          </w:p>
        </w:tc>
        <w:tc>
          <w:tcPr>
            <w:tcW w:w="1255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157C5C">
              <w:rPr>
                <w:color w:val="auto"/>
                <w:sz w:val="28"/>
                <w:szCs w:val="28"/>
              </w:rPr>
              <w:t>.000</w:t>
            </w:r>
          </w:p>
        </w:tc>
        <w:tc>
          <w:tcPr>
            <w:tcW w:w="1255" w:type="dxa"/>
          </w:tcPr>
          <w:p w:rsidR="003B05BC" w:rsidRPr="00157C5C" w:rsidRDefault="003B05BC" w:rsidP="003B05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157C5C">
              <w:rPr>
                <w:color w:val="auto"/>
                <w:sz w:val="28"/>
                <w:szCs w:val="28"/>
              </w:rPr>
              <w:t>0.000</w:t>
            </w:r>
          </w:p>
        </w:tc>
      </w:tr>
    </w:tbl>
    <w:p w:rsidR="00F22087" w:rsidRDefault="00F22087" w:rsidP="00FC5C13">
      <w:pPr>
        <w:pStyle w:val="Default"/>
        <w:jc w:val="both"/>
        <w:rPr>
          <w:color w:val="FF0000"/>
          <w:sz w:val="28"/>
          <w:szCs w:val="28"/>
        </w:rPr>
      </w:pPr>
    </w:p>
    <w:p w:rsidR="009F3500" w:rsidRPr="00CD3ED1" w:rsidRDefault="009F3500" w:rsidP="009F3500">
      <w:pPr>
        <w:ind w:firstLine="720"/>
        <w:jc w:val="both"/>
        <w:rPr>
          <w:sz w:val="28"/>
          <w:szCs w:val="28"/>
          <w:lang w:val="ro-RO"/>
        </w:rPr>
      </w:pPr>
      <w:r w:rsidRPr="00CD3ED1">
        <w:rPr>
          <w:sz w:val="28"/>
          <w:szCs w:val="28"/>
          <w:lang w:val="ro-RO"/>
        </w:rPr>
        <w:t xml:space="preserve">Valoarea maximă eligibilă a  unui proiect pentru ONG-urile nou înființate, care nu au depus bilanțul contabil, nu poate depășii 50.000,00 lei. </w:t>
      </w:r>
    </w:p>
    <w:p w:rsidR="00BB1A24" w:rsidRDefault="00BB1A24" w:rsidP="00182556">
      <w:pPr>
        <w:pStyle w:val="Default"/>
        <w:rPr>
          <w:sz w:val="28"/>
          <w:szCs w:val="28"/>
        </w:rPr>
      </w:pPr>
    </w:p>
    <w:p w:rsidR="00BB1A24" w:rsidRDefault="00F22087" w:rsidP="009F3500">
      <w:pPr>
        <w:pStyle w:val="Default"/>
        <w:ind w:firstLine="708"/>
        <w:jc w:val="both"/>
        <w:rPr>
          <w:sz w:val="28"/>
          <w:szCs w:val="28"/>
        </w:rPr>
      </w:pPr>
      <w:r w:rsidRPr="00F22087">
        <w:rPr>
          <w:sz w:val="28"/>
          <w:szCs w:val="28"/>
        </w:rPr>
        <w:t>Atribuirea contractelor cu finanțare nerambursabilă se va face pe bază de selecție publică și evaluare de către comisii numite prin dispoziţia</w:t>
      </w:r>
      <w:r>
        <w:rPr>
          <w:sz w:val="28"/>
          <w:szCs w:val="28"/>
        </w:rPr>
        <w:t xml:space="preserve"> Primarului Municipiului Ploieşti.</w:t>
      </w:r>
    </w:p>
    <w:p w:rsidR="00157C5C" w:rsidRPr="00182556" w:rsidRDefault="00157C5C" w:rsidP="00D229D6">
      <w:pPr>
        <w:pStyle w:val="Default"/>
        <w:jc w:val="both"/>
        <w:rPr>
          <w:sz w:val="28"/>
          <w:szCs w:val="28"/>
        </w:rPr>
      </w:pPr>
    </w:p>
    <w:p w:rsidR="0014778B" w:rsidRPr="003B05BC" w:rsidRDefault="00157C5C" w:rsidP="003B05BC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Perioada de implementare a proiectelor este până la 31 decembrie 202</w:t>
      </w:r>
      <w:r w:rsidR="009F3500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.</w:t>
      </w:r>
      <w:bookmarkStart w:id="0" w:name="_GoBack"/>
      <w:bookmarkEnd w:id="0"/>
    </w:p>
    <w:sectPr w:rsidR="0014778B" w:rsidRPr="003B05BC" w:rsidSect="009F350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F6270"/>
    <w:multiLevelType w:val="multilevel"/>
    <w:tmpl w:val="573C178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76"/>
    <w:rsid w:val="000313D3"/>
    <w:rsid w:val="00051D28"/>
    <w:rsid w:val="00054B3A"/>
    <w:rsid w:val="00060126"/>
    <w:rsid w:val="0014778B"/>
    <w:rsid w:val="00157C5C"/>
    <w:rsid w:val="00182556"/>
    <w:rsid w:val="001D1780"/>
    <w:rsid w:val="00333876"/>
    <w:rsid w:val="0035655D"/>
    <w:rsid w:val="003B05BC"/>
    <w:rsid w:val="00431AF0"/>
    <w:rsid w:val="004322E9"/>
    <w:rsid w:val="00440B45"/>
    <w:rsid w:val="005124FA"/>
    <w:rsid w:val="00540DA6"/>
    <w:rsid w:val="005418D0"/>
    <w:rsid w:val="00582B7D"/>
    <w:rsid w:val="00640131"/>
    <w:rsid w:val="00663ACA"/>
    <w:rsid w:val="007962FB"/>
    <w:rsid w:val="007C620E"/>
    <w:rsid w:val="007D0734"/>
    <w:rsid w:val="00842DAE"/>
    <w:rsid w:val="0088685C"/>
    <w:rsid w:val="00887099"/>
    <w:rsid w:val="008A0002"/>
    <w:rsid w:val="008D30FD"/>
    <w:rsid w:val="008E0E3E"/>
    <w:rsid w:val="0097102E"/>
    <w:rsid w:val="00973626"/>
    <w:rsid w:val="0098133C"/>
    <w:rsid w:val="009F3500"/>
    <w:rsid w:val="00A31C28"/>
    <w:rsid w:val="00A55B78"/>
    <w:rsid w:val="00B25030"/>
    <w:rsid w:val="00BB1A24"/>
    <w:rsid w:val="00C02874"/>
    <w:rsid w:val="00C118B5"/>
    <w:rsid w:val="00C649C7"/>
    <w:rsid w:val="00CE4127"/>
    <w:rsid w:val="00D229D6"/>
    <w:rsid w:val="00E52FB0"/>
    <w:rsid w:val="00E62ABC"/>
    <w:rsid w:val="00E8571B"/>
    <w:rsid w:val="00F04A75"/>
    <w:rsid w:val="00F22087"/>
    <w:rsid w:val="00F436A2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69D77-3129-4AA5-995E-8263530F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B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C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Farcas Alina</dc:creator>
  <cp:keywords/>
  <dc:description/>
  <cp:lastModifiedBy>Constanta Luminita Albu</cp:lastModifiedBy>
  <cp:revision>13</cp:revision>
  <dcterms:created xsi:type="dcterms:W3CDTF">2023-03-09T12:43:00Z</dcterms:created>
  <dcterms:modified xsi:type="dcterms:W3CDTF">2025-04-14T13:54:00Z</dcterms:modified>
</cp:coreProperties>
</file>